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58A9" w14:textId="77777777" w:rsidR="002B1270" w:rsidRPr="00733BBF" w:rsidRDefault="002B1270" w:rsidP="004C0C71">
      <w:pPr>
        <w:spacing w:after="0"/>
        <w:rPr>
          <w:rFonts w:ascii="Calibri" w:hAnsi="Calibri" w:cs="Calibri"/>
          <w:b/>
          <w:bCs/>
          <w:sz w:val="21"/>
          <w:szCs w:val="21"/>
          <w:lang w:val="tr-TR"/>
        </w:rPr>
      </w:pPr>
      <w:r w:rsidRPr="00733BBF">
        <w:rPr>
          <w:rFonts w:ascii="Calibri" w:hAnsi="Calibri" w:cs="Calibri"/>
          <w:b/>
          <w:bCs/>
          <w:sz w:val="21"/>
          <w:szCs w:val="21"/>
          <w:lang w:val="tr-TR"/>
        </w:rPr>
        <w:t>BORUSAN QUARTET</w:t>
      </w:r>
    </w:p>
    <w:p w14:paraId="6804F727" w14:textId="77777777" w:rsidR="002B1270" w:rsidRPr="00733BBF" w:rsidRDefault="002B1270" w:rsidP="004C0C71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218A7002" w14:textId="77777777" w:rsidR="002B1270" w:rsidRPr="00733BBF" w:rsidRDefault="002B1270" w:rsidP="00BD3295">
      <w:pPr>
        <w:spacing w:after="0"/>
        <w:rPr>
          <w:rFonts w:ascii="Calibri" w:hAnsi="Calibri" w:cs="Calibri"/>
          <w:sz w:val="21"/>
          <w:szCs w:val="21"/>
          <w:lang w:val="tr-TR"/>
        </w:rPr>
      </w:pPr>
      <w:r w:rsidRPr="00733BBF">
        <w:rPr>
          <w:rFonts w:ascii="Calibri" w:hAnsi="Calibri" w:cs="Calibri"/>
          <w:sz w:val="21"/>
          <w:szCs w:val="21"/>
          <w:lang w:val="tr-TR"/>
        </w:rPr>
        <w:t xml:space="preserve">Esen Kıvrak </w:t>
      </w:r>
      <w:r w:rsidRPr="00733BBF">
        <w:rPr>
          <w:rFonts w:ascii="Calibri" w:hAnsi="Calibri" w:cs="Calibri"/>
          <w:i/>
          <w:iCs/>
          <w:sz w:val="21"/>
          <w:szCs w:val="21"/>
          <w:lang w:val="tr-TR"/>
        </w:rPr>
        <w:t>1. keman</w:t>
      </w:r>
    </w:p>
    <w:p w14:paraId="56F7B239" w14:textId="2BBE7A46" w:rsidR="002B1270" w:rsidRPr="00733BBF" w:rsidRDefault="00605033" w:rsidP="00BD3295">
      <w:pPr>
        <w:spacing w:after="0"/>
        <w:rPr>
          <w:rFonts w:ascii="Calibri" w:hAnsi="Calibri" w:cs="Calibri"/>
          <w:sz w:val="21"/>
          <w:szCs w:val="21"/>
          <w:lang w:val="tr-TR"/>
        </w:rPr>
      </w:pPr>
      <w:r>
        <w:rPr>
          <w:rFonts w:ascii="Calibri" w:hAnsi="Calibri" w:cs="Calibri"/>
          <w:sz w:val="21"/>
          <w:szCs w:val="21"/>
          <w:lang w:val="tr-TR"/>
        </w:rPr>
        <w:t>Özgür Baskın</w:t>
      </w:r>
      <w:r w:rsidR="002B1270" w:rsidRPr="00733BBF">
        <w:rPr>
          <w:rFonts w:ascii="Calibri" w:hAnsi="Calibri" w:cs="Calibri"/>
          <w:sz w:val="21"/>
          <w:szCs w:val="21"/>
          <w:lang w:val="tr-TR"/>
        </w:rPr>
        <w:t xml:space="preserve"> </w:t>
      </w:r>
      <w:r w:rsidR="002B1270" w:rsidRPr="00733BBF">
        <w:rPr>
          <w:rFonts w:ascii="Calibri" w:hAnsi="Calibri" w:cs="Calibri"/>
          <w:i/>
          <w:iCs/>
          <w:sz w:val="21"/>
          <w:szCs w:val="21"/>
          <w:lang w:val="tr-TR"/>
        </w:rPr>
        <w:t>2. keman</w:t>
      </w:r>
    </w:p>
    <w:p w14:paraId="777D2911" w14:textId="77777777" w:rsidR="002B1270" w:rsidRPr="00733BBF" w:rsidRDefault="002B1270" w:rsidP="00BD3295">
      <w:pPr>
        <w:spacing w:after="0"/>
        <w:rPr>
          <w:rFonts w:ascii="Calibri" w:hAnsi="Calibri" w:cs="Calibri"/>
          <w:sz w:val="21"/>
          <w:szCs w:val="21"/>
          <w:lang w:val="tr-TR"/>
        </w:rPr>
      </w:pPr>
      <w:proofErr w:type="spellStart"/>
      <w:r w:rsidRPr="00733BBF">
        <w:rPr>
          <w:rFonts w:ascii="Calibri" w:hAnsi="Calibri" w:cs="Calibri"/>
          <w:sz w:val="21"/>
          <w:szCs w:val="21"/>
          <w:lang w:val="tr-TR"/>
        </w:rPr>
        <w:t>Efdal</w:t>
      </w:r>
      <w:proofErr w:type="spellEnd"/>
      <w:r w:rsidRPr="00733BBF">
        <w:rPr>
          <w:rFonts w:ascii="Calibri" w:hAnsi="Calibri" w:cs="Calibri"/>
          <w:sz w:val="21"/>
          <w:szCs w:val="21"/>
          <w:lang w:val="tr-TR"/>
        </w:rPr>
        <w:t xml:space="preserve"> </w:t>
      </w:r>
      <w:proofErr w:type="spellStart"/>
      <w:r w:rsidRPr="00733BBF">
        <w:rPr>
          <w:rFonts w:ascii="Calibri" w:hAnsi="Calibri" w:cs="Calibri"/>
          <w:sz w:val="21"/>
          <w:szCs w:val="21"/>
          <w:lang w:val="tr-TR"/>
        </w:rPr>
        <w:t>Altun</w:t>
      </w:r>
      <w:proofErr w:type="spellEnd"/>
      <w:r w:rsidRPr="00733BBF">
        <w:rPr>
          <w:rFonts w:ascii="Calibri" w:hAnsi="Calibri" w:cs="Calibri"/>
          <w:sz w:val="21"/>
          <w:szCs w:val="21"/>
          <w:lang w:val="tr-TR"/>
        </w:rPr>
        <w:t xml:space="preserve"> </w:t>
      </w:r>
      <w:r w:rsidRPr="00733BBF">
        <w:rPr>
          <w:rFonts w:ascii="Calibri" w:hAnsi="Calibri" w:cs="Calibri"/>
          <w:i/>
          <w:iCs/>
          <w:sz w:val="21"/>
          <w:szCs w:val="21"/>
          <w:lang w:val="tr-TR"/>
        </w:rPr>
        <w:t>viyola</w:t>
      </w:r>
    </w:p>
    <w:p w14:paraId="179D74C1" w14:textId="77777777" w:rsidR="002B1270" w:rsidRPr="00733BBF" w:rsidRDefault="002B1270" w:rsidP="00BD3295">
      <w:pPr>
        <w:spacing w:after="0"/>
        <w:rPr>
          <w:rFonts w:ascii="Calibri" w:hAnsi="Calibri" w:cs="Calibri"/>
          <w:sz w:val="21"/>
          <w:szCs w:val="21"/>
          <w:lang w:val="tr-TR"/>
        </w:rPr>
      </w:pPr>
      <w:r w:rsidRPr="00733BBF">
        <w:rPr>
          <w:rFonts w:ascii="Calibri" w:hAnsi="Calibri" w:cs="Calibri"/>
          <w:sz w:val="21"/>
          <w:szCs w:val="21"/>
          <w:lang w:val="tr-TR"/>
        </w:rPr>
        <w:t xml:space="preserve">Çağ </w:t>
      </w:r>
      <w:proofErr w:type="spellStart"/>
      <w:r w:rsidRPr="00733BBF">
        <w:rPr>
          <w:rFonts w:ascii="Calibri" w:hAnsi="Calibri" w:cs="Calibri"/>
          <w:sz w:val="21"/>
          <w:szCs w:val="21"/>
          <w:lang w:val="tr-TR"/>
        </w:rPr>
        <w:t>Erçağ</w:t>
      </w:r>
      <w:proofErr w:type="spellEnd"/>
      <w:r w:rsidRPr="00733BBF">
        <w:rPr>
          <w:rFonts w:ascii="Calibri" w:hAnsi="Calibri" w:cs="Calibri"/>
          <w:sz w:val="21"/>
          <w:szCs w:val="21"/>
          <w:lang w:val="tr-TR"/>
        </w:rPr>
        <w:t xml:space="preserve"> </w:t>
      </w:r>
      <w:r w:rsidRPr="00733BBF">
        <w:rPr>
          <w:rFonts w:ascii="Calibri" w:hAnsi="Calibri" w:cs="Calibri"/>
          <w:i/>
          <w:iCs/>
          <w:sz w:val="21"/>
          <w:szCs w:val="21"/>
          <w:lang w:val="tr-TR"/>
        </w:rPr>
        <w:t>viyolonsel</w:t>
      </w:r>
    </w:p>
    <w:p w14:paraId="7BE6CC1C" w14:textId="77777777" w:rsidR="002B1270" w:rsidRPr="00733BBF" w:rsidRDefault="002B1270" w:rsidP="004C0C71">
      <w:pPr>
        <w:spacing w:after="0"/>
        <w:rPr>
          <w:rFonts w:ascii="Calibri" w:hAnsi="Calibri" w:cs="Calibri"/>
          <w:sz w:val="21"/>
          <w:szCs w:val="21"/>
          <w:lang w:val="tr-TR"/>
        </w:rPr>
      </w:pPr>
      <w:bookmarkStart w:id="0" w:name="_GoBack"/>
      <w:bookmarkEnd w:id="0"/>
    </w:p>
    <w:p w14:paraId="4B87782F" w14:textId="77777777" w:rsidR="00A56302" w:rsidRPr="00A56302" w:rsidRDefault="002B1270" w:rsidP="00A56302">
      <w:pPr>
        <w:shd w:val="clear" w:color="auto" w:fill="FFFFFF"/>
        <w:spacing w:after="120"/>
        <w:ind w:firstLine="720"/>
        <w:rPr>
          <w:rFonts w:ascii="Calibri" w:hAnsi="Calibri" w:cs="Calibri"/>
          <w:sz w:val="20"/>
          <w:szCs w:val="20"/>
          <w:lang w:val="tr-TR" w:eastAsia="tr-TR"/>
        </w:rPr>
      </w:pPr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2005 yılında Prof. Gürer Aykal öncülüğünde kurulan topluluk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Alban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Berg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Quartet,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Julliard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Quartet, Gürer Aykal,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Joshua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Epstein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ve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Maxim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A56302">
        <w:rPr>
          <w:rFonts w:ascii="Calibri" w:hAnsi="Calibri" w:cs="Calibri"/>
          <w:sz w:val="20"/>
          <w:szCs w:val="20"/>
          <w:lang w:val="tr-TR" w:eastAsia="tr-TR"/>
        </w:rPr>
        <w:t>Vengerov</w:t>
      </w:r>
      <w:proofErr w:type="spellEnd"/>
      <w:r w:rsidRPr="00A56302">
        <w:rPr>
          <w:rFonts w:ascii="Calibri" w:hAnsi="Calibri" w:cs="Calibri"/>
          <w:sz w:val="20"/>
          <w:szCs w:val="20"/>
          <w:lang w:val="tr-TR" w:eastAsia="tr-TR"/>
        </w:rPr>
        <w:t xml:space="preserve"> gibi topluluk ve sanatçıların ustalık sınıfı çalışmalarına katıldı. </w:t>
      </w:r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Borusan Sanat’ın İsviçre’deki </w:t>
      </w:r>
      <w:proofErr w:type="spellStart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>Maggini</w:t>
      </w:r>
      <w:proofErr w:type="spellEnd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 Vakfı ile yaptığı işbirliği sonucu, 1776 yapımı Lorenzo </w:t>
      </w:r>
      <w:proofErr w:type="spellStart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>Storioni</w:t>
      </w:r>
      <w:proofErr w:type="spellEnd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 keman, 1785 yapımı </w:t>
      </w:r>
      <w:proofErr w:type="spellStart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>Ferdinando</w:t>
      </w:r>
      <w:proofErr w:type="spellEnd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>Gagliano</w:t>
      </w:r>
      <w:proofErr w:type="spellEnd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  keman, 2008 yapımı Stefano </w:t>
      </w:r>
      <w:proofErr w:type="spellStart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>Conia</w:t>
      </w:r>
      <w:proofErr w:type="spellEnd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 viyola ve 1740 yapımı </w:t>
      </w:r>
      <w:proofErr w:type="spellStart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>Petrus</w:t>
      </w:r>
      <w:proofErr w:type="spellEnd"/>
      <w:r w:rsidR="005D1635" w:rsidRPr="00A56302">
        <w:rPr>
          <w:rFonts w:ascii="Calibri" w:hAnsi="Calibri" w:cs="Calibri"/>
          <w:sz w:val="20"/>
          <w:szCs w:val="20"/>
          <w:lang w:val="tr-TR" w:eastAsia="tr-TR"/>
        </w:rPr>
        <w:t xml:space="preserve"> Guarneri viyolonsel gibi çok özel enstrümanlarla müzik yapma olanağına sahip oldular.</w:t>
      </w:r>
    </w:p>
    <w:p w14:paraId="5F61C191" w14:textId="271A7F76" w:rsidR="002B1270" w:rsidRPr="00A56302" w:rsidRDefault="002B1270" w:rsidP="00A56302">
      <w:pPr>
        <w:shd w:val="clear" w:color="auto" w:fill="FFFFFF"/>
        <w:spacing w:after="120"/>
        <w:ind w:firstLine="720"/>
        <w:rPr>
          <w:rFonts w:ascii="Calibri" w:hAnsi="Calibri" w:cs="Calibri"/>
          <w:sz w:val="20"/>
          <w:szCs w:val="20"/>
          <w:lang w:val="tr-TR" w:eastAsia="tr-TR"/>
        </w:rPr>
      </w:pPr>
      <w:r w:rsidRPr="004E3BCF">
        <w:rPr>
          <w:rFonts w:ascii="Calibri" w:hAnsi="Calibri" w:cs="Calibri"/>
          <w:sz w:val="20"/>
          <w:szCs w:val="20"/>
          <w:lang w:val="tr-TR" w:eastAsia="tr-TR"/>
        </w:rPr>
        <w:t>İstanbul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daki Süreyya Operası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nda sürdürdükleri düzenli sezon konserlerinin yanı sıra yurtiçi ve yurtdışında gerçekleştirdikleri turnelerle de dikkat çeken Borusan Quartet,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Rheingau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, Schleswig-Holstein,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Merano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, Mozart,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Napfilon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, Bodensee, West Cork,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Europalia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, Mersin,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Bodrum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, İstanbul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ve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Ankara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müzik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festivallerine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katıldı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;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Tonhalle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(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Zürih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), Carnegie Hall (New York),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Concertgebauw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(Amsterdam),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Philharmonie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de Paris (Paris), Le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Corum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(Montpellier),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Schloss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Elmau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(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Münih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),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L’arsenal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(Metz), G. Verdi Hall (Milano)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ve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Musikverein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 xml:space="preserve"> (</w:t>
      </w:r>
      <w:proofErr w:type="spellStart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Viyana</w:t>
      </w:r>
      <w:proofErr w:type="spellEnd"/>
      <w:r w:rsidR="00101054" w:rsidRPr="00101054">
        <w:rPr>
          <w:rFonts w:ascii="Calibri" w:hAnsi="Calibri" w:cs="Calibri"/>
          <w:sz w:val="20"/>
          <w:szCs w:val="20"/>
          <w:lang w:val="tr-TR" w:eastAsia="tr-TR"/>
        </w:rPr>
        <w:t>)</w:t>
      </w:r>
      <w:r w:rsidR="00101054" w:rsidRPr="00A56302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gibi seçkin salonlarda konserler verdi. Solo resitallerinin yanı sıra Borusan İstanbul Filarmoni, Bilkent Senfoni,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Orchestra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Sion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>, Orkestra Akademik Başkent, Samsun Opera, İzmir, İstanbul, Bursa, Eskişehir ve Antalya devlet senfoni orkestraları ile de solist olarak çaldılar.</w:t>
      </w:r>
    </w:p>
    <w:p w14:paraId="444BCA77" w14:textId="77777777" w:rsidR="002B1270" w:rsidRPr="004E3BCF" w:rsidRDefault="002B1270" w:rsidP="00E6596F">
      <w:pPr>
        <w:shd w:val="clear" w:color="auto" w:fill="FFFFFF"/>
        <w:spacing w:after="120"/>
        <w:ind w:firstLine="720"/>
        <w:rPr>
          <w:rFonts w:ascii="Calibri" w:hAnsi="Calibri" w:cs="Calibri"/>
          <w:sz w:val="20"/>
          <w:szCs w:val="20"/>
          <w:lang w:val="tr-TR" w:eastAsia="tr-TR"/>
        </w:rPr>
      </w:pP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2010 yılında ilki düzenlenen </w:t>
      </w:r>
      <w:r w:rsidRPr="001F12F3">
        <w:rPr>
          <w:rFonts w:ascii="Calibri" w:hAnsi="Calibri" w:cs="Calibri"/>
          <w:i/>
          <w:iCs/>
          <w:sz w:val="20"/>
          <w:szCs w:val="20"/>
          <w:lang w:val="tr-TR" w:eastAsia="tr-TR"/>
        </w:rPr>
        <w:t>Andante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dergisi Klasik Müzik Ödülleri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nde “Yılın Oda Müziği Topluluğu” ödülünün ve yine aynı yıl New York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taki Carnegie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Hall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da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finali gerçekleşen 2010 ICMEC Uluslararası Oda Müziği Topluluğu Yarışması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nda 1. olarak altın madalyanın sahibi oldular.</w:t>
      </w:r>
    </w:p>
    <w:p w14:paraId="2AA31B90" w14:textId="01C972E3" w:rsidR="002B1270" w:rsidRPr="004E3BCF" w:rsidRDefault="002B1270" w:rsidP="00E6596F">
      <w:pPr>
        <w:shd w:val="clear" w:color="auto" w:fill="FFFFFF"/>
        <w:spacing w:after="120"/>
        <w:ind w:firstLine="720"/>
        <w:rPr>
          <w:rFonts w:ascii="Calibri" w:hAnsi="Calibri" w:cs="Calibri"/>
          <w:sz w:val="20"/>
          <w:szCs w:val="20"/>
          <w:lang w:val="tr-TR" w:eastAsia="tr-TR"/>
        </w:rPr>
      </w:pP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Oğuzhan Balcı, Mahir </w:t>
      </w:r>
      <w:proofErr w:type="spellStart"/>
      <w:r w:rsidR="00A56302">
        <w:rPr>
          <w:rFonts w:ascii="Calibri" w:hAnsi="Calibri" w:cs="Calibri"/>
          <w:sz w:val="20"/>
          <w:szCs w:val="20"/>
          <w:lang w:val="tr-TR" w:eastAsia="tr-TR"/>
        </w:rPr>
        <w:t>C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etiz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Turgay Erdener, Özkan Manav, Alper Maral, Turgut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Pöğün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Meliha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Doğuduyal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ve Hasan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Uçarsu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nun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kendileri için yazdığı yapıtların ilk seslendirilişini gerçekleştirerek Türkiye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nin çağdaş müzik repertuvarına da katkıda bulunan Borusan Quartet ayrıca kemancı ve besteci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Aleksey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Igudesman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ın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kendileri için yazmış olduğu Edirne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den Kars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a ve Yaylı Çalgılar Dörtlüsü adlı yapıtların da dünya prömiyerini gerçekleştirdi. Büyük beğeni kazanan </w:t>
      </w:r>
      <w:proofErr w:type="spellStart"/>
      <w:r w:rsidRPr="004E3BCF">
        <w:rPr>
          <w:rFonts w:ascii="Calibri" w:hAnsi="Calibri" w:cs="Calibri"/>
          <w:i/>
          <w:iCs/>
          <w:sz w:val="20"/>
          <w:szCs w:val="20"/>
          <w:lang w:val="tr-TR" w:eastAsia="tr-TR"/>
        </w:rPr>
        <w:t>Saygun</w:t>
      </w:r>
      <w:proofErr w:type="spellEnd"/>
      <w:r w:rsidRPr="004E3BCF">
        <w:rPr>
          <w:rFonts w:ascii="Calibri" w:hAnsi="Calibri" w:cs="Calibri"/>
          <w:i/>
          <w:iCs/>
          <w:sz w:val="20"/>
          <w:szCs w:val="20"/>
          <w:lang w:val="tr-TR" w:eastAsia="tr-TR"/>
        </w:rPr>
        <w:t>, Aykal, Erkin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adlı CD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leri 2013 yılında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Lila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Müzik, İdil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Biret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le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birlikte kaydettikleri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Schumann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ın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Piyanolu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Beşli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si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de 2014 yılında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Naxos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a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bağlı IBA, </w:t>
      </w:r>
      <w:r w:rsidRPr="004E3BCF">
        <w:rPr>
          <w:rFonts w:ascii="Calibri" w:hAnsi="Calibri" w:cs="Calibri"/>
          <w:i/>
          <w:iCs/>
          <w:sz w:val="20"/>
          <w:szCs w:val="20"/>
          <w:lang w:val="tr-TR" w:eastAsia="tr-TR"/>
        </w:rPr>
        <w:t>Mozart &amp; Verdi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2016</w:t>
      </w:r>
      <w:r>
        <w:rPr>
          <w:rFonts w:ascii="Calibri" w:hAnsi="Calibri" w:cs="Calibri"/>
          <w:sz w:val="20"/>
          <w:szCs w:val="20"/>
          <w:lang w:val="tr-TR" w:eastAsia="tr-TR"/>
        </w:rPr>
        <w:t>’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da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Lila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Müzik</w:t>
      </w:r>
      <w:r>
        <w:rPr>
          <w:rFonts w:ascii="Calibri" w:hAnsi="Calibri" w:cs="Calibri"/>
          <w:sz w:val="20"/>
          <w:szCs w:val="20"/>
          <w:lang w:val="tr-TR" w:eastAsia="tr-TR"/>
        </w:rPr>
        <w:t xml:space="preserve">, yeni kayıtları </w:t>
      </w:r>
      <w:proofErr w:type="spellStart"/>
      <w:r w:rsidRPr="00C44488">
        <w:rPr>
          <w:rFonts w:ascii="Calibri" w:hAnsi="Calibri" w:cs="Calibri"/>
          <w:i/>
          <w:iCs/>
          <w:sz w:val="20"/>
          <w:szCs w:val="20"/>
          <w:lang w:val="tr-TR" w:eastAsia="tr-TR"/>
        </w:rPr>
        <w:t>Company</w:t>
      </w:r>
      <w:proofErr w:type="spellEnd"/>
      <w:r w:rsidRPr="00C44488">
        <w:rPr>
          <w:rFonts w:ascii="Calibri" w:hAnsi="Calibri" w:cs="Calibri"/>
          <w:i/>
          <w:iCs/>
          <w:sz w:val="20"/>
          <w:szCs w:val="20"/>
          <w:lang w:val="tr-TR" w:eastAsia="tr-TR"/>
        </w:rPr>
        <w:t xml:space="preserve"> </w:t>
      </w:r>
      <w:r>
        <w:rPr>
          <w:rFonts w:ascii="Calibri" w:hAnsi="Calibri" w:cs="Calibri"/>
          <w:sz w:val="20"/>
          <w:szCs w:val="20"/>
          <w:lang w:val="tr-TR" w:eastAsia="tr-TR"/>
        </w:rPr>
        <w:t xml:space="preserve">de </w:t>
      </w:r>
      <w:proofErr w:type="spellStart"/>
      <w:r>
        <w:rPr>
          <w:rFonts w:ascii="Calibri" w:hAnsi="Calibri" w:cs="Calibri"/>
          <w:sz w:val="20"/>
          <w:szCs w:val="20"/>
          <w:lang w:val="tr-TR" w:eastAsia="tr-TR"/>
        </w:rPr>
        <w:t>Onyx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etiketiyle </w:t>
      </w:r>
      <w:r>
        <w:rPr>
          <w:rFonts w:ascii="Calibri" w:hAnsi="Calibri" w:cs="Calibri"/>
          <w:sz w:val="20"/>
          <w:szCs w:val="20"/>
          <w:lang w:val="tr-TR" w:eastAsia="tr-TR"/>
        </w:rPr>
        <w:t xml:space="preserve">Eylül 2017’de 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yayımlandı.</w:t>
      </w:r>
    </w:p>
    <w:p w14:paraId="4E651F1B" w14:textId="58E19AD8" w:rsidR="002B1270" w:rsidRPr="004E3BCF" w:rsidRDefault="002B1270" w:rsidP="00E6596F">
      <w:pPr>
        <w:shd w:val="clear" w:color="auto" w:fill="FFFFFF"/>
        <w:spacing w:after="120"/>
        <w:ind w:firstLine="720"/>
        <w:rPr>
          <w:rFonts w:ascii="Calibri" w:hAnsi="Calibri" w:cs="Calibri"/>
          <w:sz w:val="20"/>
          <w:szCs w:val="20"/>
          <w:lang w:val="tr-TR" w:eastAsia="tr-TR"/>
        </w:rPr>
      </w:pPr>
      <w:r w:rsidRPr="004E3BCF">
        <w:rPr>
          <w:rFonts w:ascii="Calibri" w:hAnsi="Calibri" w:cs="Calibri"/>
          <w:sz w:val="20"/>
          <w:szCs w:val="20"/>
          <w:lang w:val="tr-TR" w:eastAsia="tr-TR"/>
        </w:rPr>
        <w:t>Konser verdiği ülkeler arasında Avusturya, Almanya, Fransa, İrlanda, İtalya, Cezayir,</w:t>
      </w:r>
      <w:r>
        <w:rPr>
          <w:rFonts w:ascii="Calibri" w:hAnsi="Calibri" w:cs="Calibri"/>
          <w:sz w:val="20"/>
          <w:szCs w:val="20"/>
          <w:lang w:val="tr-TR" w:eastAsia="tr-TR"/>
        </w:rPr>
        <w:t xml:space="preserve"> Hollanda, </w:t>
      </w:r>
      <w:proofErr w:type="spellStart"/>
      <w:r>
        <w:rPr>
          <w:rFonts w:ascii="Calibri" w:hAnsi="Calibri" w:cs="Calibri"/>
          <w:sz w:val="20"/>
          <w:szCs w:val="20"/>
          <w:lang w:val="tr-TR" w:eastAsia="tr-TR"/>
        </w:rPr>
        <w:t>Sırbıstan</w:t>
      </w:r>
      <w:proofErr w:type="spellEnd"/>
      <w:r>
        <w:rPr>
          <w:rFonts w:ascii="Calibri" w:hAnsi="Calibri" w:cs="Calibri"/>
          <w:sz w:val="20"/>
          <w:szCs w:val="20"/>
          <w:lang w:val="tr-TR" w:eastAsia="tr-TR"/>
        </w:rPr>
        <w:t>,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Katar, </w:t>
      </w:r>
      <w:r>
        <w:rPr>
          <w:rFonts w:ascii="Calibri" w:hAnsi="Calibri" w:cs="Calibri"/>
          <w:sz w:val="20"/>
          <w:szCs w:val="20"/>
          <w:lang w:val="tr-TR" w:eastAsia="tr-TR"/>
        </w:rPr>
        <w:t xml:space="preserve">Beyaz Rusya, 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>Portekiz, Ürdün, İsviçre, Yunanistan, ABD, Barbados, Japonya, St. Vincent ve Grenadinler</w:t>
      </w:r>
      <w:r w:rsidR="00101054">
        <w:rPr>
          <w:rFonts w:ascii="Calibri" w:hAnsi="Calibri" w:cs="Calibri"/>
          <w:sz w:val="20"/>
          <w:szCs w:val="20"/>
          <w:lang w:val="tr-TR" w:eastAsia="tr-TR"/>
        </w:rPr>
        <w:t>, İngiltere</w:t>
      </w:r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gibi ülkeler bulunan topluluğun oda müziği partnerleri arasında İdil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Biret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Itamar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Golan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Fazıl Say,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Valentin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Erben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Gülsin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Onay, Hüseyin Sermet, Ruşen Güneş,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Reto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Bieri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Toros Can, Ferhan &amp;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Ferzan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Önder,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Igudesman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&amp;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Joo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Muhiddin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Dürrüoğlu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Fora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Baltacıgil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, Gökhan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Aybulus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ve Lawrence </w:t>
      </w:r>
      <w:proofErr w:type="spellStart"/>
      <w:r w:rsidRPr="004E3BCF">
        <w:rPr>
          <w:rFonts w:ascii="Calibri" w:hAnsi="Calibri" w:cs="Calibri"/>
          <w:sz w:val="20"/>
          <w:szCs w:val="20"/>
          <w:lang w:val="tr-TR" w:eastAsia="tr-TR"/>
        </w:rPr>
        <w:t>Power</w:t>
      </w:r>
      <w:proofErr w:type="spellEnd"/>
      <w:r w:rsidRPr="004E3BCF">
        <w:rPr>
          <w:rFonts w:ascii="Calibri" w:hAnsi="Calibri" w:cs="Calibri"/>
          <w:sz w:val="20"/>
          <w:szCs w:val="20"/>
          <w:lang w:val="tr-TR" w:eastAsia="tr-TR"/>
        </w:rPr>
        <w:t xml:space="preserve"> gibi çok değerli müzisyenler bulunmaktadır.</w:t>
      </w:r>
    </w:p>
    <w:p w14:paraId="186726B4" w14:textId="77777777" w:rsidR="002B1270" w:rsidRPr="004E3BCF" w:rsidRDefault="002B1270" w:rsidP="00E6596F">
      <w:pPr>
        <w:shd w:val="clear" w:color="auto" w:fill="FFFFFF"/>
        <w:spacing w:after="120"/>
        <w:rPr>
          <w:rFonts w:ascii="Calibri" w:hAnsi="Calibri" w:cs="Calibri"/>
          <w:sz w:val="20"/>
          <w:szCs w:val="20"/>
          <w:lang w:val="tr-TR" w:eastAsia="tr-TR"/>
        </w:rPr>
      </w:pPr>
      <w:r w:rsidRPr="004E3BCF">
        <w:rPr>
          <w:rFonts w:ascii="Calibri" w:hAnsi="Calibri" w:cs="Calibri"/>
          <w:sz w:val="20"/>
          <w:szCs w:val="20"/>
          <w:lang w:val="tr-TR" w:eastAsia="tr-TR"/>
        </w:rPr>
        <w:t>Borusan Quartet, Türk bestecilerinin önemli bir yer aldığı, klasik dönemden modern döneme uzanan geniş bir repertuvara sahip.</w:t>
      </w:r>
    </w:p>
    <w:p w14:paraId="48447D57" w14:textId="77777777" w:rsidR="002B1270" w:rsidRPr="00FF0F9D" w:rsidRDefault="002B1270" w:rsidP="00E6596F">
      <w:pPr>
        <w:spacing w:after="120"/>
        <w:rPr>
          <w:rFonts w:ascii="Calibri" w:hAnsi="Calibri" w:cs="Calibri"/>
          <w:sz w:val="18"/>
          <w:szCs w:val="18"/>
          <w:lang w:val="tr-TR"/>
        </w:rPr>
      </w:pPr>
    </w:p>
    <w:p w14:paraId="0689440E" w14:textId="2FE2D02B" w:rsidR="002B1270" w:rsidRPr="00733BBF" w:rsidRDefault="002B1270" w:rsidP="004C0C71">
      <w:pPr>
        <w:tabs>
          <w:tab w:val="left" w:pos="1701"/>
        </w:tabs>
        <w:spacing w:after="0"/>
        <w:rPr>
          <w:rFonts w:ascii="Calibri" w:hAnsi="Calibri" w:cs="Calibri"/>
          <w:b/>
          <w:bCs/>
          <w:sz w:val="18"/>
          <w:szCs w:val="18"/>
          <w:lang w:val="tr-TR"/>
        </w:rPr>
      </w:pPr>
      <w:r w:rsidRPr="00733BBF">
        <w:rPr>
          <w:rFonts w:ascii="Calibri" w:hAnsi="Calibri" w:cs="Calibri"/>
          <w:b/>
          <w:bCs/>
          <w:sz w:val="18"/>
          <w:szCs w:val="18"/>
          <w:lang w:val="tr-TR"/>
        </w:rPr>
        <w:t xml:space="preserve">Güncelleme: </w:t>
      </w:r>
      <w:r w:rsidRPr="00733BBF">
        <w:rPr>
          <w:rFonts w:ascii="Calibri" w:hAnsi="Calibri" w:cs="Calibri"/>
          <w:b/>
          <w:bCs/>
          <w:sz w:val="18"/>
          <w:szCs w:val="18"/>
          <w:lang w:val="tr-TR"/>
        </w:rPr>
        <w:tab/>
      </w:r>
      <w:r w:rsidR="00605033">
        <w:rPr>
          <w:rFonts w:ascii="Calibri" w:hAnsi="Calibri" w:cs="Calibri"/>
          <w:sz w:val="18"/>
          <w:szCs w:val="18"/>
          <w:lang w:val="tr-TR"/>
        </w:rPr>
        <w:t>Eylül</w:t>
      </w:r>
      <w:r w:rsidR="009E0050">
        <w:rPr>
          <w:rFonts w:ascii="Calibri" w:hAnsi="Calibri" w:cs="Calibri"/>
          <w:sz w:val="18"/>
          <w:szCs w:val="18"/>
          <w:lang w:val="tr-TR"/>
        </w:rPr>
        <w:t xml:space="preserve"> </w:t>
      </w:r>
      <w:r w:rsidRPr="00733BBF">
        <w:rPr>
          <w:rFonts w:ascii="Calibri" w:hAnsi="Calibri" w:cs="Calibri"/>
          <w:sz w:val="18"/>
          <w:szCs w:val="18"/>
          <w:lang w:val="tr-TR"/>
        </w:rPr>
        <w:t>201</w:t>
      </w:r>
      <w:r w:rsidR="009E0050">
        <w:rPr>
          <w:rFonts w:ascii="Calibri" w:hAnsi="Calibri" w:cs="Calibri"/>
          <w:sz w:val="18"/>
          <w:szCs w:val="18"/>
          <w:lang w:val="tr-TR"/>
        </w:rPr>
        <w:t>8</w:t>
      </w:r>
    </w:p>
    <w:p w14:paraId="5B049192" w14:textId="77777777" w:rsidR="002B1270" w:rsidRPr="00733BBF" w:rsidRDefault="002B1270" w:rsidP="004C0C7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b/>
          <w:bCs/>
          <w:sz w:val="18"/>
          <w:szCs w:val="18"/>
          <w:lang w:val="tr-TR"/>
        </w:rPr>
        <w:t xml:space="preserve">Ayrıntılı bilgi için: </w:t>
      </w:r>
      <w:r w:rsidRPr="00733BBF">
        <w:rPr>
          <w:rFonts w:ascii="Calibri" w:hAnsi="Calibri" w:cs="Calibri"/>
          <w:sz w:val="18"/>
          <w:szCs w:val="18"/>
          <w:lang w:val="tr-TR"/>
        </w:rPr>
        <w:tab/>
      </w:r>
      <w:r>
        <w:rPr>
          <w:rFonts w:ascii="Calibri" w:hAnsi="Calibri" w:cs="Calibri"/>
          <w:sz w:val="18"/>
          <w:szCs w:val="18"/>
          <w:lang w:val="tr-TR"/>
        </w:rPr>
        <w:t>Aydın Dorsay</w:t>
      </w:r>
    </w:p>
    <w:p w14:paraId="595168A0" w14:textId="77777777" w:rsidR="002B1270" w:rsidRPr="00733BBF" w:rsidRDefault="002B1270" w:rsidP="004C0C71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</w:r>
      <w:r>
        <w:rPr>
          <w:rFonts w:ascii="Calibri" w:hAnsi="Calibri" w:cs="Calibri"/>
          <w:sz w:val="18"/>
          <w:szCs w:val="18"/>
          <w:lang w:val="tr-TR"/>
        </w:rPr>
        <w:t>adorsay</w:t>
      </w:r>
      <w:r w:rsidRPr="00733BBF">
        <w:rPr>
          <w:rFonts w:ascii="Calibri" w:hAnsi="Calibri" w:cs="Calibri"/>
          <w:sz w:val="18"/>
          <w:szCs w:val="18"/>
          <w:lang w:val="tr-TR"/>
        </w:rPr>
        <w:t>@borusansanat.com</w:t>
      </w:r>
    </w:p>
    <w:p w14:paraId="2327B31E" w14:textId="77777777" w:rsidR="002B1270" w:rsidRPr="00733BBF" w:rsidRDefault="002B1270" w:rsidP="00B8662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450F5C71" w14:textId="77777777" w:rsidR="002B1270" w:rsidRPr="00733BBF" w:rsidRDefault="002B1270" w:rsidP="000F07CC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Borusan Sanat</w:t>
      </w:r>
    </w:p>
    <w:p w14:paraId="795A2D05" w14:textId="77777777" w:rsidR="002B1270" w:rsidRPr="00733BBF" w:rsidRDefault="002B1270" w:rsidP="000F07CC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İstiklal Caddesi No: 160A Tünel Beyoğlu 34433 İstanbul</w:t>
      </w:r>
    </w:p>
    <w:p w14:paraId="137E0E15" w14:textId="77777777" w:rsidR="002B1270" w:rsidRPr="00733BBF" w:rsidRDefault="002B1270" w:rsidP="000F07CC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T: (212) 705 87 00</w:t>
      </w:r>
    </w:p>
    <w:p w14:paraId="1BE45EA3" w14:textId="638B6DF2" w:rsidR="002B1270" w:rsidRPr="00B164FC" w:rsidRDefault="002B1270" w:rsidP="00B164FC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www.borusansanat.com</w:t>
      </w:r>
    </w:p>
    <w:sectPr w:rsidR="002B1270" w:rsidRPr="00B164FC" w:rsidSect="00F747C2">
      <w:headerReference w:type="first" r:id="rId7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E732" w14:textId="77777777" w:rsidR="00B164FC" w:rsidRDefault="00B164FC">
      <w:pPr>
        <w:spacing w:after="0"/>
      </w:pPr>
      <w:r>
        <w:separator/>
      </w:r>
    </w:p>
  </w:endnote>
  <w:endnote w:type="continuationSeparator" w:id="0">
    <w:p w14:paraId="2A84CC82" w14:textId="77777777" w:rsidR="00B164FC" w:rsidRDefault="00B16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4CFD" w14:textId="77777777" w:rsidR="00B164FC" w:rsidRDefault="00B164FC">
      <w:pPr>
        <w:spacing w:after="0"/>
      </w:pPr>
      <w:r>
        <w:separator/>
      </w:r>
    </w:p>
  </w:footnote>
  <w:footnote w:type="continuationSeparator" w:id="0">
    <w:p w14:paraId="062D79AB" w14:textId="77777777" w:rsidR="00B164FC" w:rsidRDefault="00B164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4FF8C2" w14:textId="77777777" w:rsidR="00B164FC" w:rsidRDefault="00A56302">
    <w:pPr>
      <w:pStyle w:val="Header"/>
    </w:pPr>
    <w:r>
      <w:rPr>
        <w:noProof/>
        <w:lang w:val="tr-TR" w:eastAsia="tr-TR"/>
      </w:rPr>
      <w:pict w14:anchorId="6449C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85.3pt;margin-top:-.5pt;width:595.2pt;height:841.6pt;z-index:251660288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3B1"/>
    <w:rsid w:val="000109BB"/>
    <w:rsid w:val="000F07CC"/>
    <w:rsid w:val="000F5EC0"/>
    <w:rsid w:val="00101054"/>
    <w:rsid w:val="00131EBB"/>
    <w:rsid w:val="00136C1B"/>
    <w:rsid w:val="001417CB"/>
    <w:rsid w:val="00151A34"/>
    <w:rsid w:val="001F12F3"/>
    <w:rsid w:val="00242278"/>
    <w:rsid w:val="00265285"/>
    <w:rsid w:val="002B1270"/>
    <w:rsid w:val="002F3040"/>
    <w:rsid w:val="00346372"/>
    <w:rsid w:val="00347831"/>
    <w:rsid w:val="003820D3"/>
    <w:rsid w:val="003873C8"/>
    <w:rsid w:val="003C0274"/>
    <w:rsid w:val="003C43A9"/>
    <w:rsid w:val="003F47AA"/>
    <w:rsid w:val="004318CB"/>
    <w:rsid w:val="004C0C71"/>
    <w:rsid w:val="004E3BCF"/>
    <w:rsid w:val="004E62A0"/>
    <w:rsid w:val="004F5D32"/>
    <w:rsid w:val="0056009B"/>
    <w:rsid w:val="005721AF"/>
    <w:rsid w:val="00573E19"/>
    <w:rsid w:val="005D1635"/>
    <w:rsid w:val="005D4112"/>
    <w:rsid w:val="005F0702"/>
    <w:rsid w:val="005F2306"/>
    <w:rsid w:val="0060439A"/>
    <w:rsid w:val="00605033"/>
    <w:rsid w:val="006C15C9"/>
    <w:rsid w:val="00711615"/>
    <w:rsid w:val="00715B51"/>
    <w:rsid w:val="00733BBF"/>
    <w:rsid w:val="00795F34"/>
    <w:rsid w:val="007B188A"/>
    <w:rsid w:val="007C2CFE"/>
    <w:rsid w:val="007E13B1"/>
    <w:rsid w:val="0084415E"/>
    <w:rsid w:val="00894145"/>
    <w:rsid w:val="00920382"/>
    <w:rsid w:val="00937232"/>
    <w:rsid w:val="00991C9E"/>
    <w:rsid w:val="009A2DA2"/>
    <w:rsid w:val="009A316E"/>
    <w:rsid w:val="009E0050"/>
    <w:rsid w:val="00A1284E"/>
    <w:rsid w:val="00A162D6"/>
    <w:rsid w:val="00A43A66"/>
    <w:rsid w:val="00A52C2F"/>
    <w:rsid w:val="00A56302"/>
    <w:rsid w:val="00A8729E"/>
    <w:rsid w:val="00AA1A05"/>
    <w:rsid w:val="00AB5C9E"/>
    <w:rsid w:val="00B164FC"/>
    <w:rsid w:val="00B86627"/>
    <w:rsid w:val="00BC49A6"/>
    <w:rsid w:val="00BC667E"/>
    <w:rsid w:val="00BD3295"/>
    <w:rsid w:val="00C26579"/>
    <w:rsid w:val="00C44488"/>
    <w:rsid w:val="00C57C55"/>
    <w:rsid w:val="00C76DD2"/>
    <w:rsid w:val="00D0706E"/>
    <w:rsid w:val="00D5260F"/>
    <w:rsid w:val="00D53F8D"/>
    <w:rsid w:val="00D61AF0"/>
    <w:rsid w:val="00D654AB"/>
    <w:rsid w:val="00DA4141"/>
    <w:rsid w:val="00DB015D"/>
    <w:rsid w:val="00DC7736"/>
    <w:rsid w:val="00E31B1D"/>
    <w:rsid w:val="00E31DE4"/>
    <w:rsid w:val="00E6596F"/>
    <w:rsid w:val="00E834D6"/>
    <w:rsid w:val="00EA42BC"/>
    <w:rsid w:val="00EB736D"/>
    <w:rsid w:val="00EE1BFA"/>
    <w:rsid w:val="00F21590"/>
    <w:rsid w:val="00F747C2"/>
    <w:rsid w:val="00FD366B"/>
    <w:rsid w:val="00FD46C9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00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36"/>
    <w:pPr>
      <w:spacing w:after="200"/>
    </w:pPr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3B1"/>
  </w:style>
  <w:style w:type="paragraph" w:styleId="Footer">
    <w:name w:val="footer"/>
    <w:basedOn w:val="Normal"/>
    <w:link w:val="FooterChar"/>
    <w:uiPriority w:val="99"/>
    <w:rsid w:val="007E13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3B1"/>
  </w:style>
  <w:style w:type="paragraph" w:styleId="BalloonText">
    <w:name w:val="Balloon Text"/>
    <w:basedOn w:val="Normal"/>
    <w:link w:val="BalloonTextChar"/>
    <w:uiPriority w:val="99"/>
    <w:semiHidden/>
    <w:rsid w:val="00151A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A34"/>
    <w:rPr>
      <w:rFonts w:ascii="Lucida Grande" w:hAnsi="Lucida Grande" w:cs="Lucida Grande"/>
      <w:sz w:val="18"/>
      <w:szCs w:val="18"/>
    </w:rPr>
  </w:style>
  <w:style w:type="character" w:customStyle="1" w:styleId="il">
    <w:name w:val="il"/>
    <w:uiPriority w:val="99"/>
    <w:rsid w:val="00FF0F9D"/>
  </w:style>
  <w:style w:type="character" w:customStyle="1" w:styleId="apple-converted-space">
    <w:name w:val="apple-converted-space"/>
    <w:uiPriority w:val="99"/>
    <w:rsid w:val="00FF0F9D"/>
  </w:style>
  <w:style w:type="paragraph" w:styleId="NormalWeb">
    <w:name w:val="Normal (Web)"/>
    <w:basedOn w:val="Normal"/>
    <w:uiPriority w:val="99"/>
    <w:unhideWhenUsed/>
    <w:rsid w:val="005D16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9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4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95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3721</TotalTime>
  <Pages>1</Pages>
  <Words>494</Words>
  <Characters>2820</Characters>
  <Application>Microsoft Macintosh Word</Application>
  <DocSecurity>0</DocSecurity>
  <Lines>23</Lines>
  <Paragraphs>6</Paragraphs>
  <ScaleCrop>false</ScaleCrop>
  <Company>Spot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cikinoglu</dc:creator>
  <cp:keywords/>
  <dc:description/>
  <cp:lastModifiedBy>evren barin</cp:lastModifiedBy>
  <cp:revision>33</cp:revision>
  <cp:lastPrinted>2014-08-19T19:55:00Z</cp:lastPrinted>
  <dcterms:created xsi:type="dcterms:W3CDTF">2015-08-24T03:07:00Z</dcterms:created>
  <dcterms:modified xsi:type="dcterms:W3CDTF">2018-09-04T09:37:00Z</dcterms:modified>
</cp:coreProperties>
</file>